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23 27 vom 8. Mai 2023</w:t>
      </w:r>
    </w:p>
    <w:p>
      <w:r>
        <w:t>VS Kantonsgericht, 2023-05-08, FR</w:t>
      </w:r>
    </w:p>
    <w:p>
      <w:r>
        <w:rPr>
          <w:b/>
        </w:rPr>
        <w:t xml:space="preserve">Quelle: </w:t>
      </w:r>
      <w:r>
        <w:t>https://mcp.opencaselaw.ch/entscheid/vs_gerichte_C2 23 27</w:t>
      </w:r>
    </w:p>
    <w:p>
      <w:r>
        <w:t>FR: VS_GERICHTE C2 23 27 du 8 mai 2023</w:t>
      </w:r>
    </w:p>
    <w:p>
      <w:r>
        <w:t>IT: VS_GERICHTE C2 23 27 del 8 maggio 2023</w:t>
      </w:r>
    </w:p>
    <w:p>
      <w:pPr>
        <w:pStyle w:val="Heading2"/>
      </w:pPr>
      <w:r>
        <w:t>Regeste</w:t>
      </w:r>
    </w:p>
    <w:p>
      <w:r>
        <w:t>C2 23 27 ARRÊT DU 8 MAI 2023 Tribunal cantonal du Valais Cour civile I Camille Rey-Mermet, juge ; Malika Hofer, greffière en la cause X _________, et Y _________ SA, instants, représentés par Maître Philippe Loretan, avocat à Sion contre Z _________ SÀRL, intimée, représentée par Maître Gaëtan Coutaz, avocat à Sion (report d’une hypothèque légale des artisans et entrepreneurs inscrite à titre provisoire)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est irrecevable.</w:t>
      </w:r>
    </w:p>
    <w:p>
      <w:r>
        <w:rPr>
          <w:b/>
        </w:rPr>
        <w:t>E. 2</w:t>
      </w:r>
    </w:p>
    <w:p>
      <w:r>
        <w:t>Les frais, par 500 fr., sont mis à la charge de X _________ et Y _________ SA, solidairement entre eux.</w:t>
      </w:r>
    </w:p>
    <w:p>
      <w:r>
        <w:rPr>
          <w:b/>
        </w:rPr>
        <w:t>E. 3</w:t>
      </w:r>
    </w:p>
    <w:p>
      <w:r>
        <w:t>Il n’est pas alloué de dépens. Sion, le 8 mai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